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44"/>
          <w:szCs w:val="44"/>
        </w:rPr>
      </w:pPr>
      <w:r>
        <w:rPr>
          <w:rFonts w:hint="eastAsia" w:ascii="宋体" w:hAnsi="宋体" w:cs="宋体"/>
          <w:sz w:val="32"/>
          <w:szCs w:val="32"/>
        </w:rPr>
        <w:t>附件1</w:t>
      </w:r>
    </w:p>
    <w:p>
      <w:pPr>
        <w:spacing w:line="560" w:lineRule="exact"/>
        <w:jc w:val="center"/>
        <w:rPr>
          <w:rFonts w:ascii="宋体" w:hAnsi="宋体" w:cs="宋体"/>
          <w:sz w:val="28"/>
          <w:szCs w:val="28"/>
        </w:rPr>
      </w:pPr>
      <w:r>
        <w:rPr>
          <w:rFonts w:hint="eastAsia" w:ascii="方正小标宋简体" w:hAnsi="方正小标宋简体" w:eastAsia="方正小标宋简体" w:cs="方正小标宋简体"/>
          <w:sz w:val="40"/>
          <w:szCs w:val="40"/>
        </w:rPr>
        <w:t>2022 年度黑龙江省经济社会发展重点研究课题（基地专项）选题说明</w:t>
      </w:r>
    </w:p>
    <w:tbl>
      <w:tblPr>
        <w:tblStyle w:val="5"/>
        <w:tblW w:w="10945" w:type="dxa"/>
        <w:jc w:val="center"/>
        <w:tblLayout w:type="fixed"/>
        <w:tblCellMar>
          <w:top w:w="0" w:type="dxa"/>
          <w:left w:w="108" w:type="dxa"/>
          <w:bottom w:w="0" w:type="dxa"/>
          <w:right w:w="108" w:type="dxa"/>
        </w:tblCellMar>
      </w:tblPr>
      <w:tblGrid>
        <w:gridCol w:w="585"/>
        <w:gridCol w:w="1559"/>
        <w:gridCol w:w="5595"/>
        <w:gridCol w:w="1376"/>
        <w:gridCol w:w="765"/>
        <w:gridCol w:w="1065"/>
      </w:tblGrid>
      <w:tr>
        <w:tblPrEx>
          <w:tblCellMar>
            <w:top w:w="0" w:type="dxa"/>
            <w:left w:w="108" w:type="dxa"/>
            <w:bottom w:w="0" w:type="dxa"/>
            <w:right w:w="108" w:type="dxa"/>
          </w:tblCellMar>
        </w:tblPrEx>
        <w:trPr>
          <w:trHeight w:val="560" w:hRule="atLeast"/>
          <w:jc w:val="center"/>
        </w:trPr>
        <w:tc>
          <w:tcPr>
            <w:tcW w:w="585"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olor w:val="000000"/>
                <w:sz w:val="20"/>
              </w:rPr>
            </w:pPr>
            <w:r>
              <w:rPr>
                <w:rFonts w:hint="eastAsia" w:ascii="黑体" w:hAnsi="宋体" w:eastAsia="黑体"/>
                <w:color w:val="000000"/>
                <w:kern w:val="0"/>
                <w:sz w:val="20"/>
                <w:lang w:bidi="ar"/>
              </w:rPr>
              <w:t>序号</w:t>
            </w:r>
          </w:p>
        </w:tc>
        <w:tc>
          <w:tcPr>
            <w:tcW w:w="1559"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黑体" w:hAnsi="宋体" w:eastAsia="黑体"/>
                <w:color w:val="000000"/>
                <w:sz w:val="20"/>
              </w:rPr>
            </w:pPr>
            <w:r>
              <w:rPr>
                <w:rFonts w:hint="eastAsia" w:ascii="黑体" w:hAnsi="宋体" w:eastAsia="黑体"/>
                <w:color w:val="000000"/>
                <w:kern w:val="0"/>
                <w:sz w:val="20"/>
                <w:lang w:bidi="ar"/>
              </w:rPr>
              <w:t>选题名称</w:t>
            </w:r>
          </w:p>
        </w:tc>
        <w:tc>
          <w:tcPr>
            <w:tcW w:w="559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olor w:val="000000"/>
                <w:sz w:val="20"/>
              </w:rPr>
            </w:pPr>
            <w:r>
              <w:rPr>
                <w:rFonts w:hint="eastAsia" w:ascii="黑体" w:hAnsi="宋体" w:eastAsia="黑体"/>
                <w:color w:val="000000"/>
                <w:kern w:val="0"/>
                <w:sz w:val="20"/>
                <w:lang w:bidi="ar"/>
              </w:rPr>
              <w:t>选题说明</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olor w:val="000000"/>
                <w:sz w:val="20"/>
              </w:rPr>
            </w:pPr>
            <w:r>
              <w:rPr>
                <w:rFonts w:hint="eastAsia" w:ascii="黑体" w:hAnsi="宋体" w:eastAsia="黑体"/>
                <w:color w:val="000000"/>
                <w:kern w:val="0"/>
                <w:sz w:val="20"/>
                <w:lang w:bidi="ar"/>
              </w:rPr>
              <w:t>结题成果</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olor w:val="000000"/>
                <w:sz w:val="20"/>
              </w:rPr>
            </w:pPr>
            <w:r>
              <w:rPr>
                <w:rFonts w:hint="eastAsia" w:ascii="黑体" w:hAnsi="宋体" w:eastAsia="黑体"/>
                <w:color w:val="000000"/>
                <w:kern w:val="0"/>
                <w:sz w:val="20"/>
                <w:lang w:bidi="ar"/>
              </w:rPr>
              <w:t>研究时限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olor w:val="000000"/>
                <w:sz w:val="20"/>
              </w:rPr>
            </w:pPr>
            <w:r>
              <w:rPr>
                <w:rFonts w:hint="eastAsia" w:ascii="黑体" w:hAnsi="宋体" w:eastAsia="黑体"/>
                <w:color w:val="000000"/>
                <w:kern w:val="0"/>
                <w:sz w:val="20"/>
                <w:lang w:bidi="ar"/>
              </w:rPr>
              <w:t>课题经费支持（万）</w:t>
            </w:r>
          </w:p>
        </w:tc>
      </w:tr>
      <w:tr>
        <w:tblPrEx>
          <w:tblCellMar>
            <w:top w:w="0" w:type="dxa"/>
            <w:left w:w="108" w:type="dxa"/>
            <w:bottom w:w="0" w:type="dxa"/>
            <w:right w:w="108" w:type="dxa"/>
          </w:tblCellMar>
        </w:tblPrEx>
        <w:trPr>
          <w:trHeight w:val="1920" w:hRule="atLeast"/>
          <w:jc w:val="center"/>
        </w:trPr>
        <w:tc>
          <w:tcPr>
            <w:tcW w:w="585"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55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黑龙江省残疾人职业康复服务实施路径研究</w:t>
            </w:r>
          </w:p>
        </w:tc>
        <w:tc>
          <w:tcPr>
            <w:tcW w:w="559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Style w:val="10"/>
                <w:rFonts w:hint="default"/>
                <w:lang w:bidi="ar"/>
              </w:rPr>
              <w:t xml:space="preserve">  残疾人职业康复是残疾康复的重要组成部分，是促进残疾人就业的有力保障，也是改善残疾人生活品质，有效参与社会的重要途径。这为我省残疾人职业康复服务工作的开展，提供了有力的政策支持，也指明了我省残疾人职业康复服务工作的方向。</w:t>
            </w:r>
            <w:r>
              <w:rPr>
                <w:rStyle w:val="10"/>
                <w:rFonts w:hint="default"/>
                <w:lang w:bidi="ar"/>
              </w:rPr>
              <w:br w:type="textWrapping"/>
            </w:r>
            <w:r>
              <w:rPr>
                <w:rStyle w:val="10"/>
                <w:rFonts w:hint="default"/>
                <w:lang w:bidi="ar"/>
              </w:rPr>
              <w:t xml:space="preserve">  </w:t>
            </w:r>
            <w:r>
              <w:rPr>
                <w:rStyle w:val="11"/>
                <w:rFonts w:hint="default"/>
                <w:lang w:bidi="ar"/>
              </w:rPr>
              <w:t>研究内容</w:t>
            </w:r>
            <w:r>
              <w:rPr>
                <w:rStyle w:val="10"/>
                <w:rFonts w:hint="default"/>
                <w:lang w:bidi="ar"/>
              </w:rPr>
              <w:t>一是对我省残疾人职业康复服务的现状和存在的问题进行分析，二是提出适合我省残疾人职业康复服务实施路径。通过研究为我省残疾人事业发展和制定残疾人相关政策法规提供有益建议。</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研究报告1篇、论文1篇、社科成果要报1篇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2880" w:hRule="atLeast"/>
          <w:jc w:val="center"/>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55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学前特殊儿童家庭教育指导服务研究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Style w:val="10"/>
                <w:rFonts w:hint="default"/>
                <w:lang w:bidi="ar"/>
              </w:rPr>
              <w:t xml:space="preserve">  融合教育是特殊儿童接受公平教育的重要途径，学前阶段是儿童受家庭影响最大、最直接的时期，因此针对参与融合教育的学前特殊儿童家庭开展指导服务研究，建立常态化服务机制，有助于提升家长教育能力，提高儿童融合教育效果。同时，研究成果能在一定程度上解决特殊儿童入园难的问题，并为政府部门制定相关政策提供理论和实践依据。</w:t>
            </w:r>
            <w:r>
              <w:rPr>
                <w:rStyle w:val="10"/>
                <w:rFonts w:hint="default"/>
                <w:lang w:bidi="ar"/>
              </w:rPr>
              <w:br w:type="textWrapping"/>
            </w:r>
            <w:r>
              <w:rPr>
                <w:rStyle w:val="10"/>
                <w:rFonts w:hint="default"/>
                <w:lang w:bidi="ar"/>
              </w:rPr>
              <w:t xml:space="preserve">  </w:t>
            </w:r>
            <w:r>
              <w:rPr>
                <w:rStyle w:val="11"/>
                <w:rFonts w:hint="default"/>
                <w:lang w:bidi="ar"/>
              </w:rPr>
              <w:t>研究内容</w:t>
            </w:r>
            <w:r>
              <w:rPr>
                <w:rStyle w:val="10"/>
                <w:rFonts w:hint="default"/>
                <w:lang w:bidi="ar"/>
              </w:rPr>
              <w:t>一是全面深入掌握我省学前融合教育特殊儿童家庭教育指导服务现状，厘清问题，分析原因，找到切实可行的对策。二是充分了解我省学前融合教育特殊儿童家庭教育指导服务诉求，并在此基础上实践探索针对不同类型家庭的多样性服务模式。三是为政府相关部门构建学前融合教育特殊儿童家庭教育指导服务体系提出建议。</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黑龙江省与俄哈巴罗夫斯克边疆区经贸合作及人文交流路径研究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Style w:val="10"/>
                <w:rFonts w:hint="default"/>
                <w:lang w:bidi="ar"/>
              </w:rPr>
              <w:t xml:space="preserve">  探索黑龙江省与哈巴罗夫斯克边疆区在新冠疫情乃至后疫情时代开展经贸合作及人文交流的路径，通过对当前国内外局势、双方合作基础、合作意愿、既往合作成果和问题以及最新政策的分析研判，为优势领域提出深化合作的建议，对合作中存在的问题进行适度的剖析和解读，并发掘双方的潜在合作领域和项目，力求扬长避短，为双方的进一步合作提出一点拙见，进而为黑龙江省经济社会的发展建言献策。</w:t>
            </w:r>
            <w:r>
              <w:rPr>
                <w:rStyle w:val="10"/>
                <w:rFonts w:hint="default"/>
                <w:lang w:bidi="ar"/>
              </w:rPr>
              <w:br w:type="textWrapping"/>
            </w:r>
            <w:r>
              <w:rPr>
                <w:rStyle w:val="10"/>
                <w:rFonts w:hint="default"/>
                <w:lang w:bidi="ar"/>
              </w:rPr>
              <w:t xml:space="preserve">  </w:t>
            </w:r>
            <w:r>
              <w:rPr>
                <w:rStyle w:val="11"/>
                <w:rFonts w:hint="default"/>
                <w:lang w:bidi="ar"/>
              </w:rPr>
              <w:t>研究内容</w:t>
            </w:r>
            <w:r>
              <w:rPr>
                <w:rStyle w:val="10"/>
                <w:rFonts w:hint="default"/>
                <w:lang w:bidi="ar"/>
              </w:rPr>
              <w:t>一是从地缘优势、自身资源、经济社会发展现状等方面入手，分析黑龙江省与哈巴罗夫斯克边疆区合作的基础。二是根据近两年来中俄两国从中央到地方各层级的态度及出台的相关政策确定双方的合作意愿。三是总结既往合作成果和存在的问题，结合当前疫情发展态势和国际局势，对未来发展方向做出基本研判。四是发掘潜在合作领域和项目，为黑龙江省企业投资进军哈巴罗夫斯克边疆区市场提出建议。五是依托双方大学和研究机构的力量，广泛开展多种形式的人文合作交流。</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研究报告、论文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16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黑龙江省深化对俄远东经贸合作研究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黑龙江省深化对俄远东经贸合作研究对于我省抢抓机遇、加强对俄远东投资和贸易提档升级，具有重大现实意义。</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一是西方国家对俄罗斯经济制裁的举措及俄罗斯的应对；二是俄罗斯远东应对西方国家经济制裁的举措；三是黑龙江省利用西方国家企业撤资之际加快对俄远东的投资；四是黑龙江省发挥口岸、通道优势，利用俄远东扩大对俄过境贸易；五是黑龙江省加强自贸片区建设步伐，加快跨境贸易发展。</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研究报告、论文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43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俄罗斯远东地区旅俄华侨语言演变研究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Style w:val="10"/>
                <w:rFonts w:hint="default"/>
                <w:lang w:bidi="ar"/>
              </w:rPr>
              <w:t xml:space="preserve">  语言接触与语言演变研究，能使语言研究进入一个更为完善、科学的领域，能够更加深入了解语言内部规律及其特点，从而进一步改善语言共时历时研究的理论与方法，具有重要的语言学理论价值。从语言的变异中发现语言演变的新规律，用以丰富语言学理论，为描写语言学、历史语言学、社会语言学、接触语言学等增添新的养分。丰富关于俄罗斯华侨的研究，为社会语言学、接触语言学等学科研究提供了原始材料和个案参考，补充和加深了“言语社区”理论关于其社区内部层次结构和演变机制等内容的探讨。探索俄罗斯华侨社会语言环境和汉语的使用情况，对语言应用问题，包括语言规划、双语政策、教育政策、边境政策的制定，以及二语习得的探索具有一定的参考价值。</w:t>
            </w:r>
            <w:r>
              <w:rPr>
                <w:rStyle w:val="10"/>
                <w:rFonts w:hint="default"/>
                <w:lang w:bidi="ar"/>
              </w:rPr>
              <w:br w:type="textWrapping"/>
            </w:r>
            <w:r>
              <w:rPr>
                <w:rStyle w:val="10"/>
                <w:rFonts w:hint="default"/>
                <w:lang w:bidi="ar"/>
              </w:rPr>
              <w:t xml:space="preserve">  </w:t>
            </w:r>
            <w:r>
              <w:rPr>
                <w:rStyle w:val="11"/>
                <w:rFonts w:hint="default"/>
                <w:lang w:bidi="ar"/>
              </w:rPr>
              <w:t>研究内容</w:t>
            </w:r>
            <w:r>
              <w:rPr>
                <w:rStyle w:val="10"/>
                <w:rFonts w:hint="default"/>
                <w:lang w:bidi="ar"/>
              </w:rPr>
              <w:t>以社会语言学、接触语言学理论为依托，以俄罗斯远东地区旅俄华侨语言为研究对象，基于田野调查采集的口语语料，探讨汉俄语言接触下的语言演变情况。调查俄罗斯远东地区旅俄华侨的语言使用情况，分析其在语音、词汇、语法等层面的语言特点。以语言接触不同时期的不同表象为链，阐释产生语言演变的诸如语言干扰、文化、历史、人口、宗教等因素。揭示不同类型语言接触后语言演变趋向。</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论文三篇（其中，刊于俄罗斯核心期刊论文2篇，国内一般期刊1篇）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1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远东华侨红色史料研究（1949-2019）</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Style w:val="10"/>
                <w:rFonts w:hint="default"/>
                <w:lang w:bidi="ar"/>
              </w:rPr>
              <w:t xml:space="preserve">  旅俄华侨是沟通中俄文化的桥梁和纽带，是中俄两国文化大使，为维护祖籍国形象，捍卫祖籍国利益做出巨大贡献；是改革开放的开拓者、参与者、贡献者，他们回到国内投资创业，兴办企业，为地方经济发展贡献力量，成为推动改革开放伟大历史进程的重要力量。</w:t>
            </w:r>
            <w:r>
              <w:rPr>
                <w:rStyle w:val="10"/>
                <w:rFonts w:hint="default"/>
                <w:lang w:bidi="ar"/>
              </w:rPr>
              <w:br w:type="textWrapping"/>
            </w:r>
            <w:r>
              <w:rPr>
                <w:rStyle w:val="10"/>
                <w:rFonts w:hint="default"/>
                <w:lang w:bidi="ar"/>
              </w:rPr>
              <w:t xml:space="preserve">  </w:t>
            </w:r>
            <w:r>
              <w:rPr>
                <w:rStyle w:val="11"/>
                <w:rFonts w:hint="default"/>
                <w:lang w:bidi="ar"/>
              </w:rPr>
              <w:t>研究内容</w:t>
            </w:r>
            <w:r>
              <w:rPr>
                <w:rStyle w:val="10"/>
                <w:rFonts w:hint="default"/>
                <w:lang w:bidi="ar"/>
              </w:rPr>
              <w:t>一是</w:t>
            </w:r>
            <w:r>
              <w:rPr>
                <w:rStyle w:val="10"/>
                <w:rFonts w:hint="eastAsia" w:eastAsia="仿宋"/>
                <w:lang w:val="en-US" w:eastAsia="zh-CN" w:bidi="ar"/>
              </w:rPr>
              <w:t>远东</w:t>
            </w:r>
            <w:r>
              <w:rPr>
                <w:rStyle w:val="10"/>
                <w:rFonts w:hint="default"/>
                <w:lang w:bidi="ar"/>
              </w:rPr>
              <w:t>主要城市</w:t>
            </w:r>
            <w:bookmarkStart w:id="0" w:name="_GoBack"/>
            <w:bookmarkEnd w:id="0"/>
            <w:r>
              <w:rPr>
                <w:rStyle w:val="10"/>
                <w:rFonts w:hint="default"/>
                <w:lang w:bidi="ar"/>
              </w:rPr>
              <w:t xml:space="preserve">档案馆，图书馆、当地媒体及华侨会进行相关资料收集，采访健在的历史见证人，走访相关俄罗斯研究学者和西伯利亚华侨群体及个人，获取第一手资料。二是对三个历史时期西伯利亚地区华侨红色档案案进行研究。三是旅俄华侨的日记、书信、手稿、捐款证明、媒体报道以及公文等红色史料。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省级论文或俄罗斯核心论文3篇以上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6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黑龙江自贸区俄语口译人才翻译能力提升路径研究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Style w:val="10"/>
                <w:rFonts w:hint="default"/>
                <w:lang w:bidi="ar"/>
              </w:rPr>
              <w:t xml:space="preserve">  黑龙江省与俄罗斯、尤其是俄罗斯远东地区政治、经济、人文、科技领域的合作不断深化。这种背景下，社会对口译人才数量的需求和质量的期待已大大提高，而目前很多高校翻译专业学生毕业后无法完成实际口译工作任务，主要原因是目前的翻译教学人才培养过程中对提高口译能力缺少可行的办法。因此，黑龙江自贸区背景下语言服务人才的俄语口译能力培养研究具有实践性。</w:t>
            </w:r>
            <w:r>
              <w:rPr>
                <w:rStyle w:val="10"/>
                <w:rFonts w:hint="default"/>
                <w:lang w:bidi="ar"/>
              </w:rPr>
              <w:br w:type="textWrapping"/>
            </w:r>
            <w:r>
              <w:rPr>
                <w:rStyle w:val="10"/>
                <w:rFonts w:hint="default"/>
                <w:lang w:bidi="ar"/>
              </w:rPr>
              <w:t xml:space="preserve">  </w:t>
            </w:r>
            <w:r>
              <w:rPr>
                <w:rStyle w:val="11"/>
                <w:rFonts w:hint="default"/>
                <w:lang w:bidi="ar"/>
              </w:rPr>
              <w:t>研究内容</w:t>
            </w:r>
            <w:r>
              <w:rPr>
                <w:rStyle w:val="10"/>
                <w:rFonts w:hint="default"/>
                <w:lang w:bidi="ar"/>
              </w:rPr>
              <w:t xml:space="preserve">一是口译与笔译的区别：口头翻译和书面翻译之间的差异主要与翻译对象和翻译结果的持续时间相关。二是口译的内涵及特点：口译是翻译的一种类型，它是与情景相关，并以功能为导向的一系列的复杂活动。三是口译译员应具备的技能：构建口译能力主要应从语言能力、语境感知、专业知识储备和临场应变能力等四个方面着手。四是情景再现角色演练法有助于培养口译能力：在角色演练中能够特别充分地展现个人的能力，有时甚至能够出乎意料地展现所有参与者的能力。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120" w:hRule="atLeast"/>
          <w:jc w:val="center"/>
        </w:trPr>
        <w:tc>
          <w:tcPr>
            <w:tcW w:w="58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8</w:t>
            </w:r>
          </w:p>
        </w:tc>
        <w:tc>
          <w:tcPr>
            <w:tcW w:w="155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哈尔滨俄国侨民组织研究（20世纪20年代至40年代）</w:t>
            </w:r>
          </w:p>
        </w:tc>
        <w:tc>
          <w:tcPr>
            <w:tcW w:w="5595" w:type="dxa"/>
            <w:tcBorders>
              <w:top w:val="single" w:color="000000" w:sz="4" w:space="0"/>
              <w:left w:val="nil"/>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俄侨及其组建的组织对当时哈尔滨的城市化发展也起到促进作用，有助于了解俄国侨民在中国东北地区的情况，对其进行细致研究，不但可以理清俄侨群体在哈尔滨的历史，还能够丰富中国东北地区区域历史，中俄、中苏、中日关系史的研究。此外，从地缘政治的角度考虑，互为邻居的中俄两国决定了亚洲的国际环境。20世纪上半叶中俄文化联系最为紧密，现在中俄两国政治关系的历史处于最好时期，20世纪上半叶中俄人民之间的文化互动经验对增强两个民族之间的文化交流具有启示意义。</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主要是依托中、俄文档案，中、日、俄文资料，对20世纪20年代至40年代俄国侨民在哈尔滨组建的政治、军事、社会组织的成立、活动、消亡过程进行细致研究，深入探讨俄国侨民及俄侨组织对近代哈尔滨、东北地区及中苏、中日、俄（苏）关系的影响。</w:t>
            </w:r>
          </w:p>
        </w:tc>
        <w:tc>
          <w:tcPr>
            <w:tcW w:w="13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专著</w:t>
            </w:r>
          </w:p>
        </w:tc>
        <w:tc>
          <w:tcPr>
            <w:tcW w:w="7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2640" w:hRule="atLeast"/>
          <w:jc w:val="center"/>
        </w:trPr>
        <w:tc>
          <w:tcPr>
            <w:tcW w:w="58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9</w:t>
            </w: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寒地黑土区葫芦栽培技术、文化与应用研究</w:t>
            </w:r>
          </w:p>
        </w:tc>
        <w:tc>
          <w:tcPr>
            <w:tcW w:w="5595" w:type="dxa"/>
            <w:tcBorders>
              <w:top w:val="single" w:color="auto" w:sz="4" w:space="0"/>
              <w:left w:val="nil"/>
              <w:bottom w:val="single" w:color="auto" w:sz="4" w:space="0"/>
              <w:right w:val="nil"/>
            </w:tcBorders>
            <w:shd w:val="clear" w:color="auto" w:fill="auto"/>
            <w:vAlign w:val="center"/>
          </w:tcPr>
          <w:p>
            <w:pPr>
              <w:widowControl/>
              <w:jc w:val="left"/>
              <w:textAlignment w:val="center"/>
              <w:rPr>
                <w:rFonts w:ascii="仿宋" w:hAnsi="仿宋" w:eastAsia="仿宋" w:cs="仿宋"/>
                <w:color w:val="000000"/>
                <w:sz w:val="20"/>
              </w:rPr>
            </w:pPr>
            <w:r>
              <w:rPr>
                <w:rStyle w:val="12"/>
                <w:rFonts w:hint="default"/>
                <w:lang w:bidi="ar"/>
              </w:rPr>
              <w:t xml:space="preserve">  葫芦是人类种植和利用最早的植物之一，用途很广泛，可作蔬菜、可药用、可制作生活用具、可制作工艺品、可观赏，是种植效益较高的植物。同时，葫芦有深厚的历史文化内涵，承载着传统文化积蕴，葫芦文化经历数千年的历史积淀，以其独特的历史渊源，深厚的文化内涵以及广泛的群众基础，在现代文化中仍占有重要的地位。</w:t>
            </w:r>
            <w:r>
              <w:rPr>
                <w:rStyle w:val="12"/>
                <w:rFonts w:hint="default"/>
                <w:lang w:bidi="ar"/>
              </w:rPr>
              <w:br w:type="textWrapping"/>
            </w:r>
            <w:r>
              <w:rPr>
                <w:rStyle w:val="12"/>
                <w:rFonts w:hint="default"/>
                <w:lang w:bidi="ar"/>
              </w:rPr>
              <w:t xml:space="preserve">  </w:t>
            </w:r>
            <w:r>
              <w:rPr>
                <w:rFonts w:hint="eastAsia" w:ascii="仿宋" w:hAnsi="仿宋" w:eastAsia="仿宋" w:cs="仿宋"/>
                <w:b/>
                <w:bCs/>
                <w:color w:val="000000"/>
                <w:kern w:val="0"/>
                <w:sz w:val="20"/>
                <w:lang w:bidi="ar"/>
              </w:rPr>
              <w:t>研究内容</w:t>
            </w:r>
            <w:r>
              <w:rPr>
                <w:rStyle w:val="12"/>
                <w:rFonts w:hint="default"/>
                <w:lang w:bidi="ar"/>
              </w:rPr>
              <w:t>一是研究选育北方寒地黑土区适宜栽培的葫芦品种。二是研究葫芦室内栽培、育苗移栽及直播栽培的高产栽培技术。三是研究葫芦栽培技术推广在乡村振兴中的实用价值。四是研究葫芦文化的历史积淀与现代意义。五是挖掘葫芦在特殊教育及康养领域的综合应用。</w:t>
            </w:r>
          </w:p>
        </w:tc>
        <w:tc>
          <w:tcPr>
            <w:tcW w:w="137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研究报告、论文</w:t>
            </w:r>
          </w:p>
        </w:tc>
        <w:tc>
          <w:tcPr>
            <w:tcW w:w="76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120" w:hRule="atLeast"/>
          <w:jc w:val="center"/>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10</w:t>
            </w:r>
          </w:p>
        </w:tc>
        <w:tc>
          <w:tcPr>
            <w:tcW w:w="155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黑龙江省电商产品推荐决策公平性研究</w:t>
            </w:r>
          </w:p>
        </w:tc>
        <w:tc>
          <w:tcPr>
            <w:tcW w:w="5595" w:type="dxa"/>
            <w:tcBorders>
              <w:top w:val="single" w:color="auto"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Style w:val="10"/>
                <w:rFonts w:hint="default"/>
                <w:lang w:bidi="ar"/>
              </w:rPr>
              <w:t xml:space="preserve">  在数字经济背景下，在以数据资源为关键要素、现代信息网络为主要载体的发展条件下，算法歧视、“大数据杀熟”、诱导沉迷等算法不合理应用导致的问题也深刻影响着正常的传播秩序、市场秩序和社会秩序，给社会公平公正和网民合法权益带来挑战，使得对于算法的公平性决策研究的重要性。</w:t>
            </w:r>
            <w:r>
              <w:rPr>
                <w:rStyle w:val="10"/>
                <w:rFonts w:hint="default"/>
                <w:lang w:bidi="ar"/>
              </w:rPr>
              <w:br w:type="textWrapping"/>
            </w:r>
            <w:r>
              <w:rPr>
                <w:rStyle w:val="10"/>
                <w:rFonts w:hint="default"/>
                <w:lang w:bidi="ar"/>
              </w:rPr>
              <w:t xml:space="preserve">  </w:t>
            </w:r>
            <w:r>
              <w:rPr>
                <w:rStyle w:val="11"/>
                <w:rFonts w:hint="default"/>
                <w:lang w:bidi="ar"/>
              </w:rPr>
              <w:t>研究内容</w:t>
            </w:r>
            <w:r>
              <w:rPr>
                <w:rStyle w:val="10"/>
                <w:rFonts w:hint="default"/>
                <w:lang w:bidi="ar"/>
              </w:rPr>
              <w:t>一是针对黑龙江省电商产品推荐公平性问题进行决策分析，优化推荐模型损失函数正则化项并采取评分补偿的方式对因推荐模型流行度偏差而产生低推荐排名的物品进行补偿，挖掘符合用户偏好的长尾物品。二是以基于偏差分析与隐私保护的个性化商品推荐系统开发和服务应用为主线，顺应个性化电商产业的发展趋势，以市场需求为导向，将有效推动黑龙江电商产业及相关产业的转型升级，提高企业科技创新能力，更好的满足社会对个性化产品推荐的精确性和隐私保护需求。</w:t>
            </w:r>
          </w:p>
        </w:tc>
        <w:tc>
          <w:tcPr>
            <w:tcW w:w="137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CSSCI/SSCI论文</w:t>
            </w:r>
          </w:p>
        </w:tc>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1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11</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黑龙江农耕文化与乡村生态旅游融合路径与策略研究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黑龙江省是农业大省，农耕文化源远流长。乡村生态旅游是农耕文化传承的重要载体之一，但黑龙江农耕文化与乡村生态旅游融合的深度不足，农耕文化的价值没有得到有效发挥。因此，如何将因数龙江省的农耕文化融入乡村生态旅游产品，实现农耕文化的现代价值，延长旅游产业链，成为文旅融合背景下的关键问题。文旅融合是培育经济新增长点的重要途径，特别是乡村振兴上升为国家战略背景下，以文旅融合赋能乡村振兴具有强烈的时代意义。</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一是调黑龙江省农耕文化融入生态旅游产品的现状；二是挖掘黑龙江省的农耕文化元素，解析黑龙江省的农耕文化价值；三是构建黑龙江省农耕文化与乡村生态旅游融合的机制；四是构思黑龙江省农耕文化与乡村生态旅游融合的路径。</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CSSCI/SSCI论文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8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绥芬河天长山要塞研究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以绥芬河要塞的实地考察与文献收集为研究方法，究明天长山要塞的历史真容、探讨如何对其保护与利用为中心内容，深入绥芬河进行实地调查，开展抗战遗址调查的实证研究和有关文化遗产保护与旅游开发互动关系等基础理论研究和文化遗产保护、文化旅游项目设计等应用研究；以发掘抗战文化遗产、弘扬爱国主义、传承抗战精神、提高民族自信心、促进文化遗产保护和文化产业的发展为研究宗旨。</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一是梳理侵华日军要塞的整体历史背景、分部情况、分担功能等。二是利用日文资料，梳理挖掘天长山要塞的建造背景、构造、日军国境守备队的布防、人员、装备，以及苏军进攻后，要塞日军抵抗情况。本部分是本研究课题的核心部分。三是还原其时绥芬河街内日军特务机关活动，以及日本侨民，商业街、妓院等绥芬河社会历史。四是对绥芬河抗战遗址和文化遗产保护现状和存在问题分析，并对如何开发利用绥芬河的抗战遗址遗迹提出建议。</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研究报告1篇、论文1篇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19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13</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近代镜泊湖开发研究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镜泊湖是东北地区著名的湖泊，近代以来随着外国势力的侵入，及东北地区的开发，镜泊湖优美的自然风光和丰富的水力成为外国势力竞相掠夺的重点。镜泊湖水电站的建立就是近代镜泊湖开发的突出例子。</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围绕其旅游规划和开发、道路的修筑、景点的连结、人文元素等具有历史厚重感镜泊湖自然风光。总之，这一历史时期，镜泊湖的开发，反映了东北地区经济开发的深度。</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1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14</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黑龙江省冰雪体育旅游高质量发展研究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2022年北京冬奥会的历史机遇是我国冰雪体育旅游业快速发展的动力引擎，据统计，冬奥会筹办期间，我国滑雪场数量增加200余座，滑冰场数量增加700余座，初步实现了《全国冰雪场设施建设规划（2016-2022年）》提出的建设目标。可见，全国冰雪场地设施的有效供给激发了大众参与冰雪运动的热情，推动了冰雪经济的形成和发展，由此冰雪体育旅游产业成为助推社会经济发展的动力开始显现。黑龙江省作为冰雪体育旅游的先发省份，早已将冰雪体育旅游产业的发展融入省经济发展战略并成为社会投资的热点产业，走向了省经济发展的前沿。</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围绕冰雪体育旅游场地规模小、配套设施不齐全、服务质量差、管理水平低下、工作人员素质不高等问题制约着黑龙江省冰雪体育旅游的高质量发展问题，依托2022年北京冬奥会大背景，探寻黑龙江省冰雪体育旅游高质量发展路径。</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19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黑龙江省体育产业新场景、新空间、新赛道研究</w:t>
            </w:r>
          </w:p>
        </w:tc>
        <w:tc>
          <w:tcPr>
            <w:tcW w:w="5595"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“十四五”时期，数字经济将成为促进我国体育产业发展的重要动力，黑龙江省体育产业应紧扣国家数字经济发展战略，大力推进体育产业的数字化转型与创新，构建以人为本的数字化体育服务体系。</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围绕利用冰雪运动和户外运动的发展机遇，结合龙江资源禀赋，创新体育供给方式，加快新体育基础设施和体育消费新载体建设，打造体育产业的新场景、新空间、新赛道，从而实现龙江体育服务、业态、机制创新，高质量发展。</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29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16</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黑龙江省冰雪旅游产业结构升级的机理与路径研究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黑龙江省提出“数字龙江”概念，并提出加快推进“数字龙江”建设步伐，搭建优势平台，培育新兴业态和深化新一代信息技术和传统产业融合的意见和措施。随着其它省份冰雪旅游的推出和建设，黑龙江省冰雪旅游业受到冲击和竞争，如果不提高质量和创新，就可能失去原有市场份额，导致游客量减少，市场竞争力降低。因此，在数字经济背景下，黑龙江省冰雪旅游业发展需要思考，如何借助数字技术，利用数字化转型和创新发展，摆脱冰雪旅游业发展面临的困境和问题，实现冰雪旅游业高质量发展。</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Fonts w:hint="eastAsia" w:ascii="仿宋" w:hAnsi="仿宋" w:eastAsia="仿宋" w:cs="仿宋"/>
                <w:b/>
                <w:bCs/>
                <w:color w:val="000000"/>
                <w:kern w:val="0"/>
                <w:sz w:val="20"/>
                <w:lang w:bidi="ar"/>
              </w:rPr>
              <w:t>研究内容</w:t>
            </w:r>
            <w:r>
              <w:rPr>
                <w:rStyle w:val="12"/>
                <w:rFonts w:hint="default"/>
                <w:lang w:bidi="ar"/>
              </w:rPr>
              <w:t>主要是采用文献资料搜集和实地调查，调查黑龙江省冰雪旅游产业现状和数字经济发展现状；其次，分析了数字经济助推黑龙江省冰雪旅游产业高质量发展的内涵要求与动力机制，采用熵值法估算数字经济发展水平，进而实证检验数字经济对冰雪旅游产业高质量发展的影响；再次，选择国内外成功案例为研究对象，剖析数字经济对冰雪旅游产业发展的经验。最后，提出数字经济推动冰雪旅游产业高质量发展的对策。</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r>
      <w:tr>
        <w:tblPrEx>
          <w:tblCellMar>
            <w:top w:w="0" w:type="dxa"/>
            <w:left w:w="108" w:type="dxa"/>
            <w:bottom w:w="0" w:type="dxa"/>
            <w:right w:w="108" w:type="dxa"/>
          </w:tblCellMar>
        </w:tblPrEx>
        <w:trPr>
          <w:trHeight w:val="31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17</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民营企业责任文化建设研究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民营经济是我国社会主义市场经济体系中最为活跃的组成部分，在国民经济中发挥着越来越重要的作用。黑龙江省民营经济虽然在全国范围内来说是相对落后的，但也已占到全省经济总量的“半壁江山”，在黑龙江省经济社会发展中扮演着越来越重要的角色。如何让民营企业在发展好自身的同时更好地担负起对国家社会的责任，企业责任文化的建设至关重要。</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Fonts w:hint="eastAsia" w:ascii="仿宋" w:hAnsi="仿宋" w:eastAsia="仿宋" w:cs="仿宋"/>
                <w:b/>
                <w:bCs/>
                <w:color w:val="000000"/>
                <w:kern w:val="0"/>
                <w:sz w:val="20"/>
                <w:lang w:bidi="ar"/>
              </w:rPr>
              <w:t>研究内容</w:t>
            </w:r>
            <w:r>
              <w:rPr>
                <w:rStyle w:val="12"/>
                <w:rFonts w:hint="default"/>
                <w:lang w:bidi="ar"/>
              </w:rPr>
              <w:t>主要从文化学视角出发，融入管理学和思想政治教育学相关理论，从对我省民营企业责任文化建设存在的问题和原因分析入手，从政府、企业、社会角度构筑一个“企业+公众+政府”三位一体的企业责任文化培育机制，丰富我国企业责任文化建设的理论研究，拓宽企业文化建设的研究领域，为我国企业责任文化建设提供思路，助推民营企业在市场竞争中形成自己独具特色的责任文化，在市场竞争中占有一席之地。</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研究报告1篇、论文3篇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r>
      <w:tr>
        <w:tblPrEx>
          <w:tblCellMar>
            <w:top w:w="0" w:type="dxa"/>
            <w:left w:w="108" w:type="dxa"/>
            <w:bottom w:w="0" w:type="dxa"/>
            <w:right w:w="108" w:type="dxa"/>
          </w:tblCellMar>
        </w:tblPrEx>
        <w:trPr>
          <w:trHeight w:val="16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18</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黑龙江省制造企业服务化转型及其价值共创过程研究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数字经济的迅速发展，推动着制造业向智能化、服务化方向转型，抓住数字化发展契机，研究数字经济赋能制造企业服务化转型，在制造企业服务化转型过程中，数字技术的发展改变了企业传统的价值创造方式，使得更多主体参与到价值创造过程中成为可能。</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Fonts w:hint="eastAsia" w:ascii="仿宋" w:hAnsi="仿宋" w:eastAsia="仿宋" w:cs="仿宋"/>
                <w:b/>
                <w:bCs/>
                <w:color w:val="000000"/>
                <w:kern w:val="0"/>
                <w:sz w:val="20"/>
                <w:lang w:bidi="ar"/>
              </w:rPr>
              <w:t>研究内容</w:t>
            </w:r>
            <w:r>
              <w:rPr>
                <w:rStyle w:val="12"/>
                <w:rFonts w:hint="default"/>
                <w:lang w:bidi="ar"/>
              </w:rPr>
              <w:t>从价值共创角度研究数字经济赋能制造服务化转型与价值共创过程，推动数字经济和实体经济融合发展。</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r>
      <w:tr>
        <w:tblPrEx>
          <w:tblCellMar>
            <w:top w:w="0" w:type="dxa"/>
            <w:left w:w="108" w:type="dxa"/>
            <w:bottom w:w="0" w:type="dxa"/>
            <w:right w:w="108" w:type="dxa"/>
          </w:tblCellMar>
        </w:tblPrEx>
        <w:trPr>
          <w:trHeight w:val="21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19</w:t>
            </w:r>
          </w:p>
        </w:tc>
        <w:tc>
          <w:tcPr>
            <w:tcW w:w="15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基于近现代报刊史料的齐齐哈尔地区妇女社会生活与解放研究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将妇女“艰苦奋斗”的创业精神与“顽强不屈”的解放精神生动而朴实的展现，可作为今日加快推动龙江振兴发展的学理支撑和智力支持。</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Fonts w:hint="eastAsia" w:ascii="仿宋" w:hAnsi="仿宋" w:eastAsia="仿宋" w:cs="仿宋"/>
                <w:b/>
                <w:bCs/>
                <w:color w:val="000000"/>
                <w:kern w:val="0"/>
                <w:sz w:val="20"/>
                <w:lang w:bidi="ar"/>
              </w:rPr>
              <w:t>研究内容</w:t>
            </w:r>
            <w:r>
              <w:rPr>
                <w:rStyle w:val="12"/>
                <w:rFonts w:hint="default"/>
                <w:lang w:bidi="ar"/>
              </w:rPr>
              <w:t>主要以《滨江日报》、《满洲日报》、《盛京日报》、《满洲报》等近现代报刊为史料来源。以近现代黑龙江政治、经济中心的齐齐哈尔地区妇女的社会生活与解放为研究内容。通过对近现代稀见报刊的爬梳，将文献史料与实物资料相结合，深入挖掘近现代齐齐哈尔地区妇女社会生活与解放的历史特点、发展规律、社会影响，拓宽妇女史研究的思路。</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研究报告1篇、论文2篇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r>
      <w:tr>
        <w:tblPrEx>
          <w:tblCellMar>
            <w:top w:w="0" w:type="dxa"/>
            <w:left w:w="108" w:type="dxa"/>
            <w:bottom w:w="0" w:type="dxa"/>
            <w:right w:w="108" w:type="dxa"/>
          </w:tblCellMar>
        </w:tblPrEx>
        <w:trPr>
          <w:trHeight w:val="264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20</w:t>
            </w:r>
          </w:p>
        </w:tc>
        <w:tc>
          <w:tcPr>
            <w:tcW w:w="15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面向国家粮食安全战略的北大荒服务保障研究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国家安全是治国安邦的重要基石，粮食安全是国家安全的重要领域。以习近平同志为核心的党中央高度重视国家粮食安全。黑龙江在国家粮食安全格局中地位举足轻重，北大荒功不可没。“中国粮食，中国饭碗。”关乎国家安危、人民幸福。北大荒是保障国家粮食安全的“国家队”和“压舱石”。新时代的北大荒人为落实国家战略要求，凝神聚力，建设现代农业大基地、大企业、大产业，朝着建设现代农业领域航母和国际大粮商的目标砥砺前行。</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 xml:space="preserve">一是北大荒保障国家粮食安全的重要地位。二是北大荒保障国家粮食安全的制度建设研究。三是北大荒保障国家种业安全路径研究。  </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研究报告1篇、论文1篇、科普微课10节100分钟以上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16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基础教育质量评价体系研究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高等教育质量测评相对成熟，基础教育质量测评发展也较快，通过梳理教育质量测评的相关研究，有利于更全面、系统地把握义务教育质量测评理论，深入认识教育质量测评的本质与规律，从而夯实我国相关研究的理论基础。</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主要包括我省基础教育质量测评体系中的组织模式构建、测评内容及标准的研制、测评工具和方法的研发、测评结果的反馈与应用。</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19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22</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黑龙江省服务类社会救助体系的建构</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现有的社会救助大多集中于物质救助，服务类社会救助相对比较薄弱。基本的物质救助在提升受助群体的能力上是有限的，服务类社会救助在社会心态、能力提升、社会支持等方面具有较强优势。</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主要包括对各类群体的教育救助、心理援助、社会关系调适、家庭关系调适等方面。对于落实家庭教育促进法，对于改善各类群体的生活，提升各类群体的能力都有较大的现实意义。</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1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23</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满铁附属地的城镇建设规划研究——以美国馆藏“满铁”史料为中心</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以“满铁附属地”城镇规划建设为中心，通过对美国馆藏日本“满铁”相关史料的整理与研究，分析“满铁附属地”铁路、街道、学校、医院、神社、图书馆、公园等设施的规化、建设与改造，就“满铁附属地”的城市规划、空间布局以及其发展历程、形态、功能等方面进行研究，揭露“满铁附属地”城镇规划建设的实质，指出其浓厚的殖民化特征。</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主要包括日本人通过铁路和“满铁附属地”，不断地掠夺东北各种物产，并将东北作为倾销商品的市场和掠夺原料的基地，为进一步掠夺东北奠定了基础。课题以“满铁附属地”城镇规划建设为视角，展现“满铁附属地”在整个日本侵华过程中的地位和作用，以及对黑龙江社会经济的影响，并对战后出现的一些相关问题如哈尔滨的城市现代化建设、日本右翼的所谓“建设东北论”等问题提供解释或批驳。</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r>
      <w:tr>
        <w:tblPrEx>
          <w:tblCellMar>
            <w:top w:w="0" w:type="dxa"/>
            <w:left w:w="108" w:type="dxa"/>
            <w:bottom w:w="0" w:type="dxa"/>
            <w:right w:w="108" w:type="dxa"/>
          </w:tblCellMar>
        </w:tblPrEx>
        <w:trPr>
          <w:trHeight w:val="31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24</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黑龙江省党员干部风腐一体防治长效机制研究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十九届中央纪委五次全会对持之以恒落实中央八项规定及其实施细则精神作出部署。会议提出，坚持风腐一体纠治、坚持纠“四风”树新风并举，以作风建设新成效促进新时代党的自我革命深入推进。不正之风与腐败现象相互交织、互为表里。只有把纠治“四风” 与惩治腐败紧密结合、一体推进，才能为推进全面从严治党向纵深发展提供重要支撑。因此，针对“四风”问题和腐败现象的变异特征，探究我省党员干部风腐一体防治的规律性建设机制，有利于我省推动党风廉政建设，落实全面从严治党、严肃党内政治生活和加强党内监督的战略部署。 </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主要包括以风腐辩证关系为切入点探索风腐是体防治机制的理论逻辑。一是以风腐典型案例为着力点探求风腐一体防治机制的国情党情省情依据。二是以风腐变异特征为突破口探寻风腐一体防治机制的建设途径。</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研究报告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19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25</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新时代高校“微腐败”治理策略研究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新时代反腐败斗争取得压倒性胜利并全面巩固，但是我们也不能忽略“微腐败”特别是高校“微腐败”所带来的“微”在教育“危”在国家的廉政风险。</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主要包括以高校“微腐败”治理问题为研究对象，通过界定高校“微腐败”的概念、划分高校“微腐败”的形态，探究高校“微腐败”的成因及难以杜绝的症结所在，提出坚持以习近平新时代中国特色社会主义思想为指导的高校“微腐败”治理策略。</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研究报告1篇、论文1篇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r>
      <w:tr>
        <w:tblPrEx>
          <w:tblCellMar>
            <w:top w:w="0" w:type="dxa"/>
            <w:left w:w="108" w:type="dxa"/>
            <w:bottom w:w="0" w:type="dxa"/>
            <w:right w:w="108" w:type="dxa"/>
          </w:tblCellMar>
        </w:tblPrEx>
        <w:trPr>
          <w:trHeight w:val="31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26</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延安时期中国共产党拒腐防变的努力及启示</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新时代如何做到拒腐防变，历史可以给我们提供借鉴。在中国共产党百年历程中，延安时期历时13年，取得了党的建设伟大工程的胜利，积累了丰富的经验，可以为新时代反腐倡廉工作提供参考。本课题研究，有利于我们感受党为了初心使命而不懈努力、坚持自我革命的努力和勇气，有利于我们总结党拒腐防变的经验，有利于推进新时代党的建设走向深入。</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一是延安时期中国共产党努力拒腐防变的必要性。二是从干部教育、严惩腐败、民主监督、榜样示范等探讨延安时期中国共产党努力拒腐防变的抓手。三是从提升党的凝聚力和战斗力、和谐干群关系党群关系、提升革命的保障能力、培养革命和建设人才等方面探讨努力拒腐防变的效果。四是从始终坚持人民至上、作风建设永远在路上、廉洁就是形象等方面探讨延安时期党拒腐防变给新时代党的建设新的伟大工程所带来的启示。</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研究报告1篇（不少于1.2万字）、论文1篇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28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27</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黑龙江省特色历史文化资源形象与影像平台建设研究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随着信息技术的高速发展,影像作为重要的信息载体，通过传播平台对人们的生活方式及思维习惯产生巨大影响。黑龙江省历史文化悠久,特点鲜明,拥有秀丽的风光与浓郁的少数民族风情。然而目前我省影像平台传播渠道视野狭窄,质量参差不齐,缺乏核心文化竞争力;产业化程度不足,难以达到持续输出并建立正面良好形象的作用，阻滞区域经济发展。</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3"/>
                <w:rFonts w:hint="default"/>
                <w:lang w:bidi="ar"/>
              </w:rPr>
              <w:t>研究内容</w:t>
            </w:r>
            <w:r>
              <w:rPr>
                <w:rStyle w:val="14"/>
                <w:rFonts w:hint="default"/>
                <w:lang w:bidi="ar"/>
              </w:rPr>
              <w:t>主要是保持核心经济、历史文化价值的前提下，探寻如何深入挖掘、设计具有我省特色的历史文化资源形象；建立健全影像传播平台；创意融合各时尚元素；扩大受众群体；通过具有一定文化高度的原创影视作品、短视频等，构建良好形象，进行特色文化传播交流。对于形成城市独特名片，塑造特有城市魅力，带动文化产业及地方经济发展具有决定性意义。</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31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28</w:t>
            </w:r>
          </w:p>
        </w:tc>
        <w:tc>
          <w:tcPr>
            <w:tcW w:w="15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黑龙本土绿色食品包装设计研究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完善和拓展我省有机绿色食品在现代审美判定环境下的市场形象推广及文化艺术表达。促进省内农、林、牧、副、渔多种类有机绿色产品的形象升级转化，以及市场知名度与市场竞争力的快速提升。研究内容主要通过对满族、蒙古族、达翰尔族、鄂伦春族、鄂温克族、赫哲族和锡伯族等黑龙江省原住民族风俗、文化、信仰中各具特色的艺术、文化、美学特征的研究，为其搭建系统化视觉设计应用平台，定制专属绿色包装生产模式及发展路径。</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主要是黑龙江省绿色食品包装设计中地域特性与文化内涵表达的研究。将从黑龙江流域传统文化视角和现代视觉传达设计表现体系出发，旨在全面地审视和深入地探究黑龙江省特有的地域文化遗产内涵，并将其合理、有效地融入到本土绿色食品包装设计当中。</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研究报告、论文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2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29</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鄂伦春族非物质文化遗产数字化传承研究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立足于互联网数字产业语境，从文化创意视角和话语体系出发，旨在全面、深入地审视和探究鄂伦春族非物质文化遗产的深层特质，其意义在于完善和拓展现代信息技术下鄂伦春族文化艺术的体系，促进对鄂伦春族非物质文化遗产进一步的保护和开发。</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研究内容主要</w:t>
            </w:r>
            <w:r>
              <w:rPr>
                <w:rStyle w:val="10"/>
                <w:rFonts w:hint="default"/>
                <w:lang w:bidi="ar"/>
              </w:rPr>
              <w:t>通过对乌勒尔、摩苏昆、萨满服饰、桦树皮镶嵌画、吕日格仁舞等鄂伦春族传统艺术样式的研究，为其搭建数字化平台，定制专属衍生品的模式、类型及发展路径，对相关文化旅游、文创产品等进行开发和营销，对鄂伦春族艺术进行文化再生产。</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研究报告1篇、论文3篇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r>
        <w:tblPrEx>
          <w:tblCellMar>
            <w:top w:w="0" w:type="dxa"/>
            <w:left w:w="108" w:type="dxa"/>
            <w:bottom w:w="0" w:type="dxa"/>
            <w:right w:w="108" w:type="dxa"/>
          </w:tblCellMar>
        </w:tblPrEx>
        <w:trPr>
          <w:trHeight w:val="5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30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龙江红色文化传承与利用研究</w:t>
            </w:r>
          </w:p>
        </w:tc>
        <w:tc>
          <w:tcPr>
            <w:tcW w:w="5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0"/>
              </w:rPr>
            </w:pPr>
            <w:r>
              <w:rPr>
                <w:rFonts w:hint="eastAsia" w:ascii="仿宋" w:hAnsi="仿宋" w:eastAsia="仿宋" w:cs="仿宋"/>
                <w:color w:val="000000"/>
                <w:kern w:val="0"/>
                <w:sz w:val="20"/>
                <w:lang w:bidi="ar"/>
              </w:rPr>
              <w:t xml:space="preserve">  发展红色旅游，继承传播红色文化的同时，带动当地经济发展，提升区域活力，缓解人口流失。黑龙江省具有发展红色文化旅游的优势，更是红色文化传播与传承的重要阵地，龙江红色文化传承利用研究，对于赓续文化血脉，促进经济发展都具有重要意义。</w:t>
            </w:r>
            <w:r>
              <w:rPr>
                <w:rFonts w:hint="eastAsia" w:ascii="仿宋" w:hAnsi="仿宋" w:eastAsia="仿宋" w:cs="仿宋"/>
                <w:color w:val="000000"/>
                <w:kern w:val="0"/>
                <w:sz w:val="20"/>
                <w:lang w:bidi="ar"/>
              </w:rPr>
              <w:br w:type="textWrapping"/>
            </w:r>
            <w:r>
              <w:rPr>
                <w:rFonts w:hint="eastAsia" w:ascii="仿宋" w:hAnsi="仿宋" w:eastAsia="仿宋" w:cs="仿宋"/>
                <w:color w:val="000000"/>
                <w:kern w:val="0"/>
                <w:sz w:val="20"/>
                <w:lang w:bidi="ar"/>
              </w:rPr>
              <w:t xml:space="preserve">  </w:t>
            </w:r>
            <w:r>
              <w:rPr>
                <w:rStyle w:val="11"/>
                <w:rFonts w:hint="default"/>
                <w:lang w:bidi="ar"/>
              </w:rPr>
              <w:t>研究内容</w:t>
            </w:r>
            <w:r>
              <w:rPr>
                <w:rStyle w:val="10"/>
                <w:rFonts w:hint="default"/>
                <w:lang w:bidi="ar"/>
              </w:rPr>
              <w:t>主要以龙江“四大精神”为理论基础，吸收现有红色文化传承与利用的研究成果，从红色文化公园、街道的传承与发展入手，结合哲学、传播学及园林设计，对龙江红色文化的传承与利用进行研究。</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对策建议、论文1-2篇</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rPr>
            </w:pPr>
            <w:r>
              <w:rPr>
                <w:rFonts w:hint="eastAsia" w:ascii="仿宋" w:hAnsi="仿宋" w:eastAsia="仿宋" w:cs="仿宋"/>
                <w:color w:val="000000"/>
                <w:kern w:val="0"/>
                <w:sz w:val="20"/>
                <w:lang w:bidi="ar"/>
              </w:rPr>
              <w:t>1</w:t>
            </w:r>
          </w:p>
        </w:tc>
      </w:tr>
    </w:tbl>
    <w:p>
      <w:pPr>
        <w:rPr>
          <w:rFonts w:ascii="宋体" w:hAnsi="宋体" w:cs="宋体"/>
          <w:kern w:val="0"/>
          <w:sz w:val="27"/>
          <w:szCs w:val="27"/>
        </w:rPr>
        <w:sectPr>
          <w:pgSz w:w="11906" w:h="16838"/>
          <w:pgMar w:top="1440" w:right="1800" w:bottom="1440" w:left="1474" w:header="851" w:footer="992" w:gutter="0"/>
          <w:cols w:space="720" w:num="1"/>
          <w:docGrid w:type="lines" w:linePitch="312" w:charSpace="0"/>
        </w:sectPr>
      </w:pPr>
    </w:p>
    <w:p>
      <w:pPr>
        <w:spacing w:line="560" w:lineRule="exact"/>
        <w:rPr>
          <w:rFonts w:ascii="黑体" w:hAnsi="黑体" w:eastAsia="黑体"/>
          <w:sz w:val="44"/>
          <w:szCs w:val="44"/>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4E3F67-6F4D-4657-AD83-67EF94098F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7C67411-1AC7-4A5B-BA11-89311F7DF2DA}"/>
  </w:font>
  <w:font w:name="方正小标宋简体">
    <w:panose1 w:val="02000000000000000000"/>
    <w:charset w:val="86"/>
    <w:family w:val="script"/>
    <w:pitch w:val="default"/>
    <w:sig w:usb0="00000001" w:usb1="08000000" w:usb2="00000000" w:usb3="00000000" w:csb0="00040000" w:csb1="00000000"/>
    <w:embedRegular r:id="rId3" w:fontKey="{4CA68016-4A4E-4318-866C-AB43259A0B8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TrueTypeFonts/>
  <w:saveSubsetFonts/>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jQxY2M0ZjEyMzVmNGFlZDE0MDJhZTIxNmM4YzAifQ=="/>
  </w:docVars>
  <w:rsids>
    <w:rsidRoot w:val="00F06A1A"/>
    <w:rsid w:val="009136E8"/>
    <w:rsid w:val="00DC426A"/>
    <w:rsid w:val="00F06A1A"/>
    <w:rsid w:val="06A7560E"/>
    <w:rsid w:val="1BAB04C0"/>
    <w:rsid w:val="270A253F"/>
    <w:rsid w:val="2AA25CA6"/>
    <w:rsid w:val="2E980D78"/>
    <w:rsid w:val="2FBF6DB4"/>
    <w:rsid w:val="30C3032E"/>
    <w:rsid w:val="3FE031E6"/>
    <w:rsid w:val="43D9274D"/>
    <w:rsid w:val="45DB35CC"/>
    <w:rsid w:val="462D194E"/>
    <w:rsid w:val="4AEE400F"/>
    <w:rsid w:val="4E200716"/>
    <w:rsid w:val="4F9B5B7A"/>
    <w:rsid w:val="5077482E"/>
    <w:rsid w:val="5C0F1DCA"/>
    <w:rsid w:val="611539DF"/>
    <w:rsid w:val="68BE4643"/>
    <w:rsid w:val="6DE54F69"/>
    <w:rsid w:val="7128150C"/>
    <w:rsid w:val="74416441"/>
    <w:rsid w:val="78FD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4"/>
      <w:lang w:val="en-US" w:eastAsia="zh-CN" w:bidi="ar-SA"/>
    </w:rPr>
  </w:style>
  <w:style w:type="paragraph" w:styleId="2">
    <w:name w:val="heading 3"/>
    <w:basedOn w:val="1"/>
    <w:next w:val="1"/>
    <w:semiHidden/>
    <w:unhideWhenUsed/>
    <w:qFormat/>
    <w:uiPriority w:val="0"/>
    <w:pPr>
      <w:keepNext/>
      <w:keepLines/>
      <w:outlineLvl w:val="2"/>
    </w:p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Indent"/>
    <w:basedOn w:val="1"/>
    <w:next w:val="1"/>
    <w:qFormat/>
    <w:uiPriority w:val="0"/>
    <w:pPr>
      <w:widowControl/>
      <w:ind w:firstLine="420"/>
    </w:pPr>
    <w:rPr>
      <w:color w:val="000000"/>
    </w:rPr>
  </w:style>
  <w:style w:type="paragraph" w:styleId="4">
    <w:name w:val="Plain Text"/>
    <w:basedOn w:val="1"/>
    <w:qFormat/>
    <w:uiPriority w:val="0"/>
    <w:rPr>
      <w:rFonts w:ascii="宋体" w:hAnsi="Courier New" w:cs="Courier New"/>
    </w:rPr>
  </w:style>
  <w:style w:type="character" w:customStyle="1" w:styleId="7">
    <w:name w:val="font21"/>
    <w:basedOn w:val="6"/>
    <w:qFormat/>
    <w:uiPriority w:val="0"/>
    <w:rPr>
      <w:rFonts w:hint="eastAsia" w:ascii="仿宋" w:hAnsi="仿宋" w:eastAsia="仿宋" w:cs="仿宋"/>
      <w:color w:val="000000"/>
      <w:sz w:val="20"/>
      <w:szCs w:val="20"/>
      <w:u w:val="none"/>
    </w:rPr>
  </w:style>
  <w:style w:type="character" w:customStyle="1" w:styleId="8">
    <w:name w:val="font51"/>
    <w:basedOn w:val="6"/>
    <w:qFormat/>
    <w:uiPriority w:val="0"/>
    <w:rPr>
      <w:rFonts w:hint="eastAsia" w:ascii="仿宋" w:hAnsi="仿宋" w:eastAsia="仿宋" w:cs="仿宋"/>
      <w:color w:val="666666"/>
      <w:sz w:val="20"/>
      <w:szCs w:val="20"/>
      <w:u w:val="none"/>
    </w:rPr>
  </w:style>
  <w:style w:type="paragraph" w:customStyle="1" w:styleId="9">
    <w:name w:val="p0"/>
    <w:qFormat/>
    <w:uiPriority w:val="0"/>
    <w:pPr>
      <w:spacing w:before="100" w:beforeAutospacing="1" w:after="100" w:afterAutospacing="1"/>
    </w:pPr>
    <w:rPr>
      <w:rFonts w:ascii="宋体" w:hAnsi="宋体" w:eastAsia="宋体" w:cs="宋体"/>
      <w:color w:val="000000"/>
      <w:sz w:val="24"/>
      <w:lang w:val="en-US" w:eastAsia="zh-CN" w:bidi="ar-SA"/>
    </w:rPr>
  </w:style>
  <w:style w:type="character" w:customStyle="1" w:styleId="10">
    <w:name w:val="font61"/>
    <w:basedOn w:val="6"/>
    <w:qFormat/>
    <w:uiPriority w:val="0"/>
    <w:rPr>
      <w:rFonts w:hint="eastAsia" w:ascii="仿宋" w:hAnsi="仿宋" w:eastAsia="仿宋" w:cs="仿宋"/>
      <w:color w:val="000000"/>
      <w:sz w:val="20"/>
      <w:szCs w:val="20"/>
      <w:u w:val="none"/>
    </w:rPr>
  </w:style>
  <w:style w:type="character" w:customStyle="1" w:styleId="11">
    <w:name w:val="font01"/>
    <w:basedOn w:val="6"/>
    <w:uiPriority w:val="0"/>
    <w:rPr>
      <w:rFonts w:hint="eastAsia" w:ascii="仿宋" w:hAnsi="仿宋" w:eastAsia="仿宋" w:cs="仿宋"/>
      <w:b/>
      <w:bCs/>
      <w:color w:val="000000"/>
      <w:sz w:val="20"/>
      <w:szCs w:val="20"/>
      <w:u w:val="none"/>
    </w:rPr>
  </w:style>
  <w:style w:type="character" w:customStyle="1" w:styleId="12">
    <w:name w:val="font71"/>
    <w:basedOn w:val="6"/>
    <w:qFormat/>
    <w:uiPriority w:val="0"/>
    <w:rPr>
      <w:rFonts w:hint="eastAsia" w:ascii="仿宋" w:hAnsi="仿宋" w:eastAsia="仿宋" w:cs="仿宋"/>
      <w:color w:val="000000"/>
      <w:sz w:val="20"/>
      <w:szCs w:val="20"/>
      <w:u w:val="none"/>
    </w:rPr>
  </w:style>
  <w:style w:type="character" w:customStyle="1" w:styleId="13">
    <w:name w:val="font41"/>
    <w:basedOn w:val="6"/>
    <w:qFormat/>
    <w:uiPriority w:val="0"/>
    <w:rPr>
      <w:rFonts w:hint="eastAsia" w:ascii="仿宋" w:hAnsi="仿宋" w:eastAsia="仿宋" w:cs="仿宋"/>
      <w:b/>
      <w:bCs/>
      <w:color w:val="000000"/>
      <w:sz w:val="20"/>
      <w:szCs w:val="20"/>
      <w:u w:val="none"/>
    </w:rPr>
  </w:style>
  <w:style w:type="character" w:customStyle="1" w:styleId="14">
    <w:name w:val="font11"/>
    <w:basedOn w:val="6"/>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D003D-73C7-4120-AA14-7A9F852B824E}">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10</Pages>
  <Words>9504</Words>
  <Characters>9588</Characters>
  <Lines>71</Lines>
  <Paragraphs>20</Paragraphs>
  <TotalTime>4</TotalTime>
  <ScaleCrop>false</ScaleCrop>
  <LinksUpToDate>false</LinksUpToDate>
  <CharactersWithSpaces>9732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2022-06-28T07:52:00Z</dcterms:created>
  <dc:creator>admin</dc:creator>
  <cp:lastModifiedBy>盛夏光年</cp:lastModifiedBy>
  <cp:lastPrinted>2021-11-16T06:14:00Z</cp:lastPrinted>
  <dcterms:modified xsi:type="dcterms:W3CDTF">2022-06-28T12:16:30Z</dcterms:modified>
  <dc:title>关于开展2022年度黑龙江省经济社会发展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5645546A0E4640CCBF9A4DDD4799393D</vt:lpwstr>
  </property>
</Properties>
</file>